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195D444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C302D6">
        <w:rPr>
          <w:rFonts w:ascii="Montserrat" w:hAnsi="Montserrat" w:cstheme="minorHAnsi"/>
          <w:szCs w:val="20"/>
        </w:rPr>
        <w:t>assistente de investigação para o ISTAR,</w:t>
      </w:r>
      <w:bookmarkStart w:id="0" w:name="_GoBack"/>
      <w:bookmarkEnd w:id="0"/>
      <w:r w:rsidR="006F2538" w:rsidRPr="0049024C">
        <w:rPr>
          <w:rFonts w:ascii="Montserrat" w:hAnsi="Montserrat" w:cstheme="minorHAnsi"/>
          <w:szCs w:val="20"/>
        </w:rPr>
        <w:t xml:space="preserve">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C302D6">
        <w:rPr>
          <w:rFonts w:ascii="Montserrat" w:hAnsi="Montserrat" w:cstheme="minorHAnsi"/>
          <w:szCs w:val="20"/>
        </w:rPr>
        <w:t>Regulamento 912/2022, publicado em Diário da República n.º 188/2022, série II, em 28.09.2022.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02D6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14805-57C6-47E9-A277-6357BA4D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schemas.microsoft.com/office/infopath/2007/PartnerControls"/>
    <ds:schemaRef ds:uri="afd847c5-d065-42fb-8d71-8e8e76b6cecd"/>
    <ds:schemaRef ds:uri="http://purl.org/dc/elements/1.1/"/>
    <ds:schemaRef ds:uri="http://purl.org/dc/terms/"/>
    <ds:schemaRef ds:uri="http://schemas.microsoft.com/office/2006/documentManagement/types"/>
    <ds:schemaRef ds:uri="9598013e-f067-4a26-92c9-bdd6f4c3fb6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1182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2023-04-20T09:43:00Z</dcterms:created>
  <dcterms:modified xsi:type="dcterms:W3CDTF">2023-04-20T09:43:00Z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